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C33F" w14:textId="57ED528B" w:rsidR="00E417C2" w:rsidRDefault="00E417C2" w:rsidP="00E417C2">
      <w:pPr>
        <w:pStyle w:val="ListParagraph"/>
        <w:spacing w:after="0" w:line="240" w:lineRule="auto"/>
      </w:pPr>
      <w:r>
        <w:rPr>
          <w:noProof/>
        </w:rPr>
        <w:drawing>
          <wp:inline distT="0" distB="0" distL="0" distR="0" wp14:anchorId="1B835C4A" wp14:editId="1939EF50">
            <wp:extent cx="5943600" cy="1042035"/>
            <wp:effectExtent l="0" t="0" r="0" b="571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42035"/>
                    </a:xfrm>
                    <a:prstGeom prst="rect">
                      <a:avLst/>
                    </a:prstGeom>
                  </pic:spPr>
                </pic:pic>
              </a:graphicData>
            </a:graphic>
          </wp:inline>
        </w:drawing>
      </w:r>
    </w:p>
    <w:p w14:paraId="46847E41" w14:textId="50479D22" w:rsidR="00E417C2" w:rsidRDefault="00E417C2" w:rsidP="00E417C2">
      <w:pPr>
        <w:pStyle w:val="ListParagraph"/>
        <w:spacing w:after="0" w:line="240" w:lineRule="auto"/>
      </w:pPr>
    </w:p>
    <w:p w14:paraId="4C206DFC" w14:textId="691E6446" w:rsidR="00E417C2" w:rsidRPr="00E417C2" w:rsidRDefault="00E417C2" w:rsidP="00E417C2">
      <w:pPr>
        <w:pStyle w:val="ListParagraph"/>
        <w:spacing w:after="0" w:line="240" w:lineRule="auto"/>
        <w:jc w:val="center"/>
        <w:rPr>
          <w:b/>
          <w:bCs/>
        </w:rPr>
      </w:pPr>
      <w:r w:rsidRPr="00E417C2">
        <w:rPr>
          <w:b/>
          <w:bCs/>
        </w:rPr>
        <w:t>Guidelines for Speakers</w:t>
      </w:r>
      <w:r>
        <w:rPr>
          <w:b/>
          <w:bCs/>
        </w:rPr>
        <w:br/>
      </w:r>
    </w:p>
    <w:p w14:paraId="1CFC3AD4" w14:textId="142DA027" w:rsidR="00003305" w:rsidRDefault="00003305" w:rsidP="00003305">
      <w:pPr>
        <w:pStyle w:val="ListParagraph"/>
        <w:numPr>
          <w:ilvl w:val="0"/>
          <w:numId w:val="1"/>
        </w:numPr>
        <w:spacing w:after="0" w:line="240" w:lineRule="auto"/>
      </w:pPr>
      <w:r>
        <w:t>All recommendations for patient care in accredited continuing education must be based on current science, evidence, and clinical reasoning, while giving a fair and balanced view of diagnostic and therapeutic options.</w:t>
      </w:r>
    </w:p>
    <w:p w14:paraId="563FEF6C" w14:textId="77777777" w:rsidR="00003305" w:rsidRDefault="00003305" w:rsidP="00003305">
      <w:pPr>
        <w:pStyle w:val="ListParagraph"/>
        <w:spacing w:after="0" w:line="240" w:lineRule="auto"/>
      </w:pPr>
    </w:p>
    <w:p w14:paraId="3B822AF7" w14:textId="77777777" w:rsidR="00003305" w:rsidRDefault="00003305" w:rsidP="00003305">
      <w:pPr>
        <w:pStyle w:val="ListParagraph"/>
        <w:numPr>
          <w:ilvl w:val="0"/>
          <w:numId w:val="1"/>
        </w:numPr>
        <w:spacing w:after="0" w:line="240" w:lineRule="auto"/>
      </w:pPr>
      <w:r>
        <w:t>All scientific research referred to, reported, or used in accredited education in support or justification of a patient care recommendation must conform to the generally accepted standards of experimental design, data collection, analysis, and interpretation.</w:t>
      </w:r>
    </w:p>
    <w:p w14:paraId="0BB7093F" w14:textId="77777777" w:rsidR="00003305" w:rsidRDefault="00003305" w:rsidP="00003305">
      <w:pPr>
        <w:pStyle w:val="ListParagraph"/>
      </w:pPr>
    </w:p>
    <w:p w14:paraId="4EBCC10D" w14:textId="77777777" w:rsidR="00003305" w:rsidRDefault="00003305" w:rsidP="00003305">
      <w:pPr>
        <w:pStyle w:val="ListParagraph"/>
        <w:numPr>
          <w:ilvl w:val="0"/>
          <w:numId w:val="1"/>
        </w:numPr>
        <w:spacing w:after="0" w:line="240" w:lineRule="auto"/>
      </w:pPr>
      <w:r>
        <w:t xml:space="preserve">Although accredited continuing education is an appropriate place to discuss, debate and explore new and evolving topics, these areas need to be clearly identified as such within the program and individual presentations. Topics must be discussed without advocating for, or promoting, practices that are not, or not </w:t>
      </w:r>
      <w:proofErr w:type="gramStart"/>
      <w:r>
        <w:t>yet,</w:t>
      </w:r>
      <w:proofErr w:type="gramEnd"/>
      <w:r>
        <w:t xml:space="preserve"> adequately based on current science, evidence, and clinical reasoning.</w:t>
      </w:r>
    </w:p>
    <w:p w14:paraId="3A46F3C1" w14:textId="77777777" w:rsidR="00003305" w:rsidRDefault="00003305" w:rsidP="00003305">
      <w:pPr>
        <w:pStyle w:val="ListParagraph"/>
      </w:pPr>
    </w:p>
    <w:p w14:paraId="7248E1CE" w14:textId="77777777" w:rsidR="00003305" w:rsidRDefault="00003305" w:rsidP="00003305">
      <w:pPr>
        <w:pStyle w:val="ListParagraph"/>
        <w:numPr>
          <w:ilvl w:val="0"/>
          <w:numId w:val="1"/>
        </w:numPr>
        <w:spacing w:after="0" w:line="240" w:lineRule="auto"/>
      </w:pPr>
      <w:r>
        <w:t>Credit will not be awarded to any education that advocates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p>
    <w:p w14:paraId="710B9345" w14:textId="77777777" w:rsidR="00003305" w:rsidRDefault="00003305" w:rsidP="00003305">
      <w:pPr>
        <w:pStyle w:val="ListParagraph"/>
      </w:pPr>
    </w:p>
    <w:p w14:paraId="70814F6D" w14:textId="77777777" w:rsidR="00FC567A" w:rsidRDefault="00003305" w:rsidP="00FC567A">
      <w:pPr>
        <w:pStyle w:val="ListParagraph"/>
        <w:numPr>
          <w:ilvl w:val="0"/>
          <w:numId w:val="1"/>
        </w:numPr>
        <w:spacing w:after="0" w:line="240" w:lineRule="auto"/>
      </w:pPr>
      <w:r>
        <w:t>Accredited education must be free of marketing or sales of products or services. Faculty must not actively promote or sell products or services that serve their professional or financial interests during accredited education</w:t>
      </w:r>
    </w:p>
    <w:p w14:paraId="2BD1073A" w14:textId="77777777" w:rsidR="00FC567A" w:rsidRDefault="00FC567A" w:rsidP="00FC567A">
      <w:pPr>
        <w:pStyle w:val="ListParagraph"/>
      </w:pPr>
    </w:p>
    <w:p w14:paraId="36C54090" w14:textId="77777777" w:rsidR="00FC567A" w:rsidRDefault="00FC567A" w:rsidP="00FC567A">
      <w:pPr>
        <w:pStyle w:val="ListParagraph"/>
        <w:numPr>
          <w:ilvl w:val="0"/>
          <w:numId w:val="1"/>
        </w:numPr>
        <w:spacing w:after="0" w:line="240" w:lineRule="auto"/>
      </w:pPr>
      <w:r>
        <w:t>Commercial support must be disclosed to the learner. Commercial support would be any monetary or in-kind support received from any entity producing, marketing, re-</w:t>
      </w:r>
      <w:proofErr w:type="gramStart"/>
      <w:r>
        <w:t>selling</w:t>
      </w:r>
      <w:proofErr w:type="gramEnd"/>
      <w:r>
        <w:t xml:space="preserve"> or distributing health care goods or services consumed by, or used on, patients. Private foundations, government agencies, hospital systems are not considered commercial entities.</w:t>
      </w:r>
    </w:p>
    <w:p w14:paraId="484A9F3E" w14:textId="77777777" w:rsidR="00FC567A" w:rsidRDefault="00FC567A" w:rsidP="00FC567A">
      <w:pPr>
        <w:pStyle w:val="ListParagraph"/>
      </w:pPr>
    </w:p>
    <w:p w14:paraId="127F19CD" w14:textId="3037136C" w:rsidR="00FC567A" w:rsidRDefault="00FC567A" w:rsidP="00FC567A">
      <w:pPr>
        <w:pStyle w:val="ListParagraph"/>
        <w:numPr>
          <w:ilvl w:val="0"/>
          <w:numId w:val="1"/>
        </w:numPr>
        <w:spacing w:after="0" w:line="240" w:lineRule="auto"/>
      </w:pPr>
      <w:r>
        <w:t>All speakers must sign a disclosure statement regarding the existence of any relevant financial interest and/or other relationship(s) they and/or their spouse/legally recognized domestic partner might have with the manufacturer(s) or provider(s) of any commercial product(s) or service(s)</w:t>
      </w:r>
    </w:p>
    <w:p w14:paraId="73EC4972" w14:textId="77777777" w:rsidR="00FC567A" w:rsidRDefault="00FC567A" w:rsidP="00FC567A">
      <w:pPr>
        <w:pStyle w:val="ListParagraph"/>
      </w:pPr>
    </w:p>
    <w:p w14:paraId="368C0188" w14:textId="28ED4B86" w:rsidR="00FC567A" w:rsidRDefault="00FC567A" w:rsidP="00FC567A">
      <w:pPr>
        <w:pStyle w:val="ListParagraph"/>
        <w:numPr>
          <w:ilvl w:val="0"/>
          <w:numId w:val="1"/>
        </w:numPr>
        <w:spacing w:after="0" w:line="240" w:lineRule="auto"/>
      </w:pPr>
      <w:r>
        <w:lastRenderedPageBreak/>
        <w:t>All relevant financial relationships must be disclosed to learners. Presenters must include a conflict-of-interest slide as part of their presentations even when there is nothing to disclose.</w:t>
      </w:r>
      <w:r>
        <w:br/>
        <w:t>The slide should contain:</w:t>
      </w:r>
    </w:p>
    <w:p w14:paraId="55058F77" w14:textId="74C3E127" w:rsidR="00FC567A" w:rsidRDefault="00FC567A" w:rsidP="00FC567A">
      <w:pPr>
        <w:pStyle w:val="ListParagraph"/>
        <w:numPr>
          <w:ilvl w:val="1"/>
          <w:numId w:val="2"/>
        </w:numPr>
        <w:spacing w:after="0" w:line="240" w:lineRule="auto"/>
        <w:ind w:left="1710"/>
      </w:pPr>
      <w:r>
        <w:t xml:space="preserve">The names of the individuals with relevant financial relationships. </w:t>
      </w:r>
    </w:p>
    <w:p w14:paraId="085984E7" w14:textId="77777777" w:rsidR="00FC567A" w:rsidRDefault="00FC567A" w:rsidP="00FC567A">
      <w:pPr>
        <w:pStyle w:val="ListParagraph"/>
        <w:numPr>
          <w:ilvl w:val="1"/>
          <w:numId w:val="2"/>
        </w:numPr>
        <w:spacing w:after="0" w:line="240" w:lineRule="auto"/>
        <w:ind w:left="1710"/>
      </w:pPr>
      <w:r>
        <w:t xml:space="preserve">The names of the </w:t>
      </w:r>
      <w:r w:rsidRPr="00FC567A">
        <w:rPr>
          <w:b/>
          <w:bCs/>
        </w:rPr>
        <w:t>ineligible companies*</w:t>
      </w:r>
      <w:r>
        <w:t xml:space="preserve"> with which they have relationships. </w:t>
      </w:r>
    </w:p>
    <w:p w14:paraId="2C2F3338" w14:textId="77777777" w:rsidR="00FC567A" w:rsidRDefault="00FC567A" w:rsidP="00FC567A">
      <w:pPr>
        <w:pStyle w:val="ListParagraph"/>
        <w:numPr>
          <w:ilvl w:val="1"/>
          <w:numId w:val="2"/>
        </w:numPr>
        <w:spacing w:after="0" w:line="240" w:lineRule="auto"/>
        <w:ind w:left="1710"/>
      </w:pPr>
      <w:r>
        <w:t xml:space="preserve">The nature of the relationships. </w:t>
      </w:r>
    </w:p>
    <w:p w14:paraId="515DAC2F" w14:textId="3725475B" w:rsidR="00FC567A" w:rsidRDefault="00FC567A" w:rsidP="00FC567A">
      <w:pPr>
        <w:pStyle w:val="ListParagraph"/>
        <w:numPr>
          <w:ilvl w:val="1"/>
          <w:numId w:val="2"/>
        </w:numPr>
        <w:spacing w:after="0" w:line="240" w:lineRule="auto"/>
        <w:ind w:left="1710"/>
      </w:pPr>
      <w:r>
        <w:t>A statement that all relevant financial relationships have been mitigated (this   statement will be added to your slide by the reviewer and must be included in the presentation deck).</w:t>
      </w:r>
    </w:p>
    <w:p w14:paraId="11A36CC1" w14:textId="77777777" w:rsidR="00FC567A" w:rsidRDefault="00FC567A" w:rsidP="00FC567A">
      <w:pPr>
        <w:pStyle w:val="ListParagraph"/>
        <w:spacing w:after="0" w:line="240" w:lineRule="auto"/>
      </w:pPr>
      <w:r>
        <w:t>If no conflict exists this must be disclosed as well</w:t>
      </w:r>
    </w:p>
    <w:p w14:paraId="6E271B4D" w14:textId="4321C73B" w:rsidR="00FC567A" w:rsidRDefault="00FC567A" w:rsidP="00FC567A">
      <w:pPr>
        <w:ind w:left="720"/>
      </w:pPr>
      <w:r>
        <w:t>Example – Conflict:</w:t>
      </w:r>
      <w:r>
        <w:br/>
        <w:t>Dr. Smith has disclosed that she is a speaker for XYZ company and is a board member of ABC corporation.</w:t>
      </w:r>
    </w:p>
    <w:p w14:paraId="4C7895F1" w14:textId="058A1241" w:rsidR="00FC567A" w:rsidRDefault="00FC567A" w:rsidP="00FC567A">
      <w:pPr>
        <w:ind w:left="720"/>
      </w:pPr>
      <w:r>
        <w:t>Example – No Conflict</w:t>
      </w:r>
      <w:r>
        <w:br/>
        <w:t>Dr. Smith has no financial conflict of interest relevant to this activity.</w:t>
      </w:r>
    </w:p>
    <w:p w14:paraId="198CDFF6" w14:textId="77777777" w:rsidR="00FC567A" w:rsidRDefault="00FC567A" w:rsidP="00FC567A">
      <w:pPr>
        <w:spacing w:after="0" w:line="240" w:lineRule="auto"/>
      </w:pPr>
    </w:p>
    <w:p w14:paraId="36396A5E" w14:textId="77777777" w:rsidR="00003305" w:rsidRDefault="00003305" w:rsidP="00003305">
      <w:pPr>
        <w:pStyle w:val="ListParagraph"/>
      </w:pPr>
    </w:p>
    <w:p w14:paraId="6DD50790" w14:textId="6105F7CC" w:rsidR="00003305" w:rsidRDefault="00003305" w:rsidP="00003305">
      <w:pPr>
        <w:spacing w:after="0" w:line="240" w:lineRule="auto"/>
      </w:pPr>
    </w:p>
    <w:sectPr w:rsidR="000033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DA3B" w14:textId="77777777" w:rsidR="00A65CA0" w:rsidRDefault="00A65CA0" w:rsidP="00FC567A">
      <w:pPr>
        <w:spacing w:after="0" w:line="240" w:lineRule="auto"/>
      </w:pPr>
      <w:r>
        <w:separator/>
      </w:r>
    </w:p>
  </w:endnote>
  <w:endnote w:type="continuationSeparator" w:id="0">
    <w:p w14:paraId="1E52044B" w14:textId="77777777" w:rsidR="00A65CA0" w:rsidRDefault="00A65CA0" w:rsidP="00FC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2C2A" w14:textId="77777777" w:rsidR="00FC567A" w:rsidRDefault="00FC567A">
    <w:pPr>
      <w:pStyle w:val="Footer"/>
      <w:rPr>
        <w:sz w:val="20"/>
        <w:szCs w:val="20"/>
      </w:rPr>
    </w:pPr>
  </w:p>
  <w:p w14:paraId="754D5351" w14:textId="671F50BC" w:rsidR="00FC567A" w:rsidRPr="00FC567A" w:rsidRDefault="00FC567A">
    <w:pPr>
      <w:pStyle w:val="Footer"/>
      <w:rPr>
        <w:sz w:val="18"/>
        <w:szCs w:val="18"/>
      </w:rPr>
    </w:pPr>
    <w:r w:rsidRPr="00FC567A">
      <w:rPr>
        <w:sz w:val="18"/>
        <w:szCs w:val="18"/>
      </w:rPr>
      <w:t>* Companies that are ineligible to be accredited are those whose primary business is producing, marketing, selling, re-selling, or distributing healthcare products used by or on patients. Examples of such organizations include: • Advertising, marketing, or communication firms whose clients are ineligible companies • Bio-medical startups that have begun a governmental regulatory approval process • Compounding pharmacies that manufacture proprietary compounds • Device manufacturers or distributors • Diagnostic labs that sell proprietary products • Growers, distributors, manufacturers or sellers of medical foods and dietary supplements • Manufacturers of health-related wearable products • Pharmaceutical companies or distributors • Pharmacy benefit managers • Reagent manufacturers or sellers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056E" w14:textId="77777777" w:rsidR="00A65CA0" w:rsidRDefault="00A65CA0" w:rsidP="00FC567A">
      <w:pPr>
        <w:spacing w:after="0" w:line="240" w:lineRule="auto"/>
      </w:pPr>
      <w:r>
        <w:separator/>
      </w:r>
    </w:p>
  </w:footnote>
  <w:footnote w:type="continuationSeparator" w:id="0">
    <w:p w14:paraId="08C1499B" w14:textId="77777777" w:rsidR="00A65CA0" w:rsidRDefault="00A65CA0" w:rsidP="00FC5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27B0"/>
    <w:multiLevelType w:val="hybridMultilevel"/>
    <w:tmpl w:val="9E5CB7E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A9F3374"/>
    <w:multiLevelType w:val="hybridMultilevel"/>
    <w:tmpl w:val="27508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05"/>
    <w:rsid w:val="00003305"/>
    <w:rsid w:val="00A65CA0"/>
    <w:rsid w:val="00E417C2"/>
    <w:rsid w:val="00FC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1759D6"/>
  <w15:chartTrackingRefBased/>
  <w15:docId w15:val="{4B7E7726-AC90-4839-9B99-A60217DE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305"/>
    <w:pPr>
      <w:ind w:left="720"/>
      <w:contextualSpacing/>
    </w:pPr>
  </w:style>
  <w:style w:type="paragraph" w:styleId="Header">
    <w:name w:val="header"/>
    <w:basedOn w:val="Normal"/>
    <w:link w:val="HeaderChar"/>
    <w:uiPriority w:val="99"/>
    <w:unhideWhenUsed/>
    <w:rsid w:val="00FC5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67A"/>
  </w:style>
  <w:style w:type="paragraph" w:styleId="Footer">
    <w:name w:val="footer"/>
    <w:basedOn w:val="Normal"/>
    <w:link w:val="FooterChar"/>
    <w:uiPriority w:val="99"/>
    <w:unhideWhenUsed/>
    <w:rsid w:val="00FC5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Barrett</dc:creator>
  <cp:keywords/>
  <dc:description/>
  <cp:lastModifiedBy>Connie Heckel Eaddy</cp:lastModifiedBy>
  <cp:revision>2</cp:revision>
  <dcterms:created xsi:type="dcterms:W3CDTF">2021-07-27T17:53:00Z</dcterms:created>
  <dcterms:modified xsi:type="dcterms:W3CDTF">2021-07-27T17:53:00Z</dcterms:modified>
</cp:coreProperties>
</file>