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20" w:rsidRPr="005C46DF" w:rsidRDefault="00A331B2" w:rsidP="007E42A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C46DF">
        <w:rPr>
          <w:b/>
          <w:sz w:val="28"/>
          <w:szCs w:val="28"/>
          <w:u w:val="single"/>
        </w:rPr>
        <w:t>Proposed Set of Standard Components for Measurement Education Curricula</w:t>
      </w:r>
    </w:p>
    <w:p w:rsidR="00A331B2" w:rsidRDefault="00A331B2" w:rsidP="00F37720">
      <w:r>
        <w:t>Thank you for providing your feedback on the proposed set of standard components for measurement education curricula in both clinical rehabilitation programs and research (PhD) rehabilitation science programs.</w:t>
      </w:r>
      <w:r w:rsidR="0065559E">
        <w:t xml:space="preserve">  </w:t>
      </w:r>
      <w:r w:rsidR="00CD4B3F">
        <w:t>We developed these</w:t>
      </w:r>
      <w:r w:rsidR="004B14BB">
        <w:t xml:space="preserve"> recommended standard components based on the COSMIN checklist.  </w:t>
      </w:r>
      <w:r w:rsidR="0065559E">
        <w:t>This questionnaire is the first of two rounds of surveys, so you will have the opportunity to revise your answers in the second round.</w:t>
      </w:r>
    </w:p>
    <w:p w:rsidR="0065559E" w:rsidRDefault="0065559E" w:rsidP="00F37720">
      <w:r>
        <w:t xml:space="preserve">In these surveys, you will be asked to rate the importance of each measurement component to both clinical and research curricula.  Additionally, you will be asked </w:t>
      </w:r>
      <w:r w:rsidR="00CD4B3F">
        <w:t>open-ended</w:t>
      </w:r>
      <w:r>
        <w:t xml:space="preserve"> questions related to the content, classification of Blooms taxonomy levels, and feasibility of including these components in education curricula.  </w:t>
      </w:r>
    </w:p>
    <w:p w:rsidR="0065559E" w:rsidRDefault="0065559E" w:rsidP="00F37720">
      <w:pPr>
        <w:rPr>
          <w:b/>
        </w:rPr>
      </w:pPr>
      <w:r>
        <w:t xml:space="preserve">Once we have received all responses, we will summarize the results and formulate a second questionnaire.  You should receive this sometime in </w:t>
      </w:r>
      <w:r w:rsidR="00CD4B3F">
        <w:t>July</w:t>
      </w:r>
      <w:r>
        <w:t xml:space="preserve"> 2017.  </w:t>
      </w:r>
      <w:r>
        <w:rPr>
          <w:b/>
        </w:rPr>
        <w:t>Please return the completed questionnaire to Shannon Juengst by May 31</w:t>
      </w:r>
      <w:r w:rsidRPr="0065559E">
        <w:rPr>
          <w:b/>
          <w:vertAlign w:val="superscript"/>
        </w:rPr>
        <w:t>st</w:t>
      </w:r>
      <w:r>
        <w:rPr>
          <w:b/>
        </w:rPr>
        <w:t xml:space="preserve">: </w:t>
      </w:r>
      <w:hyperlink r:id="rId7" w:history="1">
        <w:r w:rsidRPr="00DB1D78">
          <w:rPr>
            <w:rStyle w:val="Hyperlink"/>
            <w:b/>
          </w:rPr>
          <w:t>Shannon.Juengst@utsouthwestern.edu</w:t>
        </w:r>
      </w:hyperlink>
      <w:r>
        <w:rPr>
          <w:b/>
        </w:rPr>
        <w:t xml:space="preserve"> or email for mailing address if preferred.</w:t>
      </w:r>
    </w:p>
    <w:p w:rsidR="0065559E" w:rsidRPr="0065559E" w:rsidRDefault="0065559E" w:rsidP="00F37720">
      <w:r>
        <w:t>We assure you that your individual responses will be strictly confidential to the Curriculum Task Force and will not be divulged to any outside party, including other panelists.</w:t>
      </w:r>
    </w:p>
    <w:p w:rsidR="00F37720" w:rsidRDefault="00F37720" w:rsidP="00F37720"/>
    <w:p w:rsidR="00F37720" w:rsidRDefault="00F37720" w:rsidP="00F37720">
      <w:r>
        <w:rPr>
          <w:noProof/>
        </w:rPr>
        <w:drawing>
          <wp:inline distT="0" distB="0" distL="0" distR="0" wp14:anchorId="048C60BB" wp14:editId="18678D20">
            <wp:extent cx="5943600" cy="4025798"/>
            <wp:effectExtent l="0" t="0" r="0" b="0"/>
            <wp:docPr id="1" name="Picture 1" descr="https://juliaec.files.wordpress.com/2011/04/blooms_taxon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liaec.files.wordpress.com/2011/04/blooms_taxono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20" w:rsidRDefault="00F37720" w:rsidP="00F37720"/>
    <w:p w:rsidR="00F37720" w:rsidRDefault="004769FA" w:rsidP="00F37720">
      <w:pPr>
        <w:rPr>
          <w:rStyle w:val="Hyperlink"/>
        </w:rPr>
      </w:pPr>
      <w:hyperlink r:id="rId9" w:history="1">
        <w:r w:rsidR="00F37720" w:rsidRPr="0082505E">
          <w:rPr>
            <w:rStyle w:val="Hyperlink"/>
          </w:rPr>
          <w:t>http://rationalexpressions.blogspot.com/2014/05/blooms-taxonomy-and-ease-of-appearing.html</w:t>
        </w:r>
      </w:hyperlink>
    </w:p>
    <w:p w:rsidR="00421429" w:rsidRDefault="009C13F0">
      <w:r>
        <w:rPr>
          <w:b/>
        </w:rPr>
        <w:t xml:space="preserve">INSTRUCTIONS: </w:t>
      </w:r>
      <w:r>
        <w:t>In the table below</w:t>
      </w:r>
      <w:r w:rsidR="00CD4B3F">
        <w:t>,</w:t>
      </w:r>
      <w:r>
        <w:t xml:space="preserve"> you will find</w:t>
      </w:r>
      <w:r w:rsidR="00730A0C">
        <w:t xml:space="preserve"> our proposed S</w:t>
      </w:r>
      <w:r w:rsidR="00F37720">
        <w:t>et of Standard Component for Measurement Education</w:t>
      </w:r>
      <w:r w:rsidR="00730A0C">
        <w:t xml:space="preserve">.  </w:t>
      </w:r>
      <w:r w:rsidR="00421429" w:rsidRPr="009C13F0">
        <w:rPr>
          <w:u w:val="single"/>
        </w:rPr>
        <w:t>After reviewing all components</w:t>
      </w:r>
      <w:r w:rsidR="00421429">
        <w:t>, p</w:t>
      </w:r>
      <w:r w:rsidR="00730A0C">
        <w:t>leas</w:t>
      </w:r>
      <w:r w:rsidR="00421429">
        <w:t xml:space="preserve">e rate the </w:t>
      </w:r>
      <w:r w:rsidR="007B2A33">
        <w:rPr>
          <w:b/>
        </w:rPr>
        <w:t>IMPORTANCE</w:t>
      </w:r>
      <w:r w:rsidR="00421429">
        <w:t xml:space="preserve"> of each component for both Clinical and Research curricula on the </w:t>
      </w:r>
      <w:r w:rsidRPr="009C13F0">
        <w:rPr>
          <w:b/>
        </w:rPr>
        <w:t>scales provided in the Table</w:t>
      </w:r>
      <w:r>
        <w:t xml:space="preserve"> </w:t>
      </w:r>
      <w:r w:rsidR="007B2A33">
        <w:t>(</w:t>
      </w:r>
      <w:r w:rsidR="007B2A33">
        <w:rPr>
          <w:b/>
        </w:rPr>
        <w:t xml:space="preserve">1=not important to 5=very important) </w:t>
      </w:r>
      <w:r w:rsidR="00421429">
        <w:t>and answer the following questions:</w:t>
      </w:r>
    </w:p>
    <w:p w:rsidR="004B14BB" w:rsidRDefault="004B14BB"/>
    <w:p w:rsidR="00F37720" w:rsidRPr="009C13F0" w:rsidRDefault="00421429" w:rsidP="009C13F0">
      <w:pPr>
        <w:pStyle w:val="ListParagraph"/>
        <w:numPr>
          <w:ilvl w:val="0"/>
          <w:numId w:val="1"/>
        </w:numPr>
        <w:ind w:left="360"/>
        <w:rPr>
          <w:b/>
        </w:rPr>
      </w:pPr>
      <w:r w:rsidRPr="009C13F0">
        <w:rPr>
          <w:b/>
        </w:rPr>
        <w:t xml:space="preserve"> Are there any topics/components that you would add to those listed?</w:t>
      </w:r>
    </w:p>
    <w:p w:rsidR="00421429" w:rsidRDefault="00421429" w:rsidP="009C13F0">
      <w:pPr>
        <w:ind w:left="360"/>
      </w:pPr>
    </w:p>
    <w:p w:rsidR="009C13F0" w:rsidRDefault="009C13F0" w:rsidP="009C13F0">
      <w:pPr>
        <w:ind w:left="360"/>
      </w:pPr>
    </w:p>
    <w:p w:rsidR="00421429" w:rsidRDefault="00421429" w:rsidP="009C13F0">
      <w:pPr>
        <w:ind w:left="360"/>
      </w:pPr>
    </w:p>
    <w:p w:rsidR="00421429" w:rsidRDefault="00421429" w:rsidP="009C13F0">
      <w:pPr>
        <w:ind w:left="360"/>
      </w:pPr>
    </w:p>
    <w:p w:rsidR="00421429" w:rsidRDefault="00421429" w:rsidP="009C13F0">
      <w:pPr>
        <w:ind w:left="360"/>
      </w:pPr>
    </w:p>
    <w:p w:rsidR="00421429" w:rsidRPr="009C13F0" w:rsidRDefault="00421429" w:rsidP="009C13F0">
      <w:pPr>
        <w:pStyle w:val="ListParagraph"/>
        <w:numPr>
          <w:ilvl w:val="0"/>
          <w:numId w:val="1"/>
        </w:numPr>
        <w:ind w:left="360"/>
        <w:rPr>
          <w:b/>
        </w:rPr>
      </w:pPr>
      <w:r w:rsidRPr="009C13F0">
        <w:rPr>
          <w:b/>
        </w:rPr>
        <w:t>Do you have any suggestions or revisions for the levels of Bloom’s Taxonomy for any of the components?</w:t>
      </w:r>
    </w:p>
    <w:p w:rsidR="00421429" w:rsidRDefault="00421429" w:rsidP="009C13F0">
      <w:pPr>
        <w:ind w:left="360"/>
      </w:pPr>
    </w:p>
    <w:p w:rsidR="009C13F0" w:rsidRDefault="009C13F0" w:rsidP="009C13F0">
      <w:pPr>
        <w:ind w:left="360"/>
      </w:pPr>
    </w:p>
    <w:p w:rsidR="00421429" w:rsidRDefault="00421429" w:rsidP="009C13F0">
      <w:pPr>
        <w:ind w:left="360"/>
      </w:pPr>
    </w:p>
    <w:p w:rsidR="009C13F0" w:rsidRDefault="009C13F0" w:rsidP="009C13F0">
      <w:pPr>
        <w:ind w:left="360"/>
      </w:pPr>
    </w:p>
    <w:p w:rsidR="00421429" w:rsidRDefault="00421429" w:rsidP="009C13F0">
      <w:pPr>
        <w:ind w:left="360"/>
      </w:pPr>
    </w:p>
    <w:p w:rsidR="00421429" w:rsidRDefault="00421429" w:rsidP="009C13F0">
      <w:pPr>
        <w:pStyle w:val="ListParagraph"/>
        <w:numPr>
          <w:ilvl w:val="0"/>
          <w:numId w:val="1"/>
        </w:numPr>
        <w:ind w:left="360"/>
        <w:rPr>
          <w:b/>
        </w:rPr>
      </w:pPr>
      <w:r w:rsidRPr="009C13F0">
        <w:rPr>
          <w:b/>
        </w:rPr>
        <w:t>Do you think that implementing these components is equally important and feasible across all rehabilitation science (clinical and research) programs?  Please share your rationale:</w:t>
      </w:r>
    </w:p>
    <w:p w:rsidR="009C13F0" w:rsidRDefault="009C13F0" w:rsidP="009C13F0">
      <w:pPr>
        <w:ind w:left="360"/>
        <w:rPr>
          <w:b/>
        </w:rPr>
      </w:pPr>
    </w:p>
    <w:p w:rsidR="009C13F0" w:rsidRDefault="009C13F0" w:rsidP="009C13F0">
      <w:pPr>
        <w:ind w:left="360"/>
        <w:rPr>
          <w:b/>
        </w:rPr>
      </w:pPr>
    </w:p>
    <w:p w:rsidR="009C13F0" w:rsidRDefault="009C13F0" w:rsidP="009C13F0">
      <w:pPr>
        <w:ind w:left="360"/>
        <w:rPr>
          <w:b/>
        </w:rPr>
      </w:pPr>
    </w:p>
    <w:p w:rsidR="009C13F0" w:rsidRDefault="009C13F0" w:rsidP="009C13F0">
      <w:pPr>
        <w:ind w:left="360"/>
        <w:rPr>
          <w:b/>
        </w:rPr>
      </w:pPr>
    </w:p>
    <w:p w:rsidR="009C13F0" w:rsidRDefault="009C13F0" w:rsidP="009C13F0">
      <w:pPr>
        <w:ind w:left="360"/>
        <w:rPr>
          <w:b/>
        </w:rPr>
      </w:pPr>
    </w:p>
    <w:p w:rsidR="009C13F0" w:rsidRPr="009C13F0" w:rsidRDefault="009C13F0" w:rsidP="009C13F0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Do you have any additional suggestions or comments that could be important for developing recommendations for a set standard of components for rehabilitation science educational curricula?</w:t>
      </w:r>
    </w:p>
    <w:tbl>
      <w:tblPr>
        <w:tblStyle w:val="TableGrid"/>
        <w:tblpPr w:leftFromText="180" w:rightFromText="180" w:horzAnchor="margin" w:tblpX="-635" w:tblpY="510"/>
        <w:tblW w:w="10634" w:type="dxa"/>
        <w:tblLook w:val="04A0" w:firstRow="1" w:lastRow="0" w:firstColumn="1" w:lastColumn="0" w:noHBand="0" w:noVBand="1"/>
      </w:tblPr>
      <w:tblGrid>
        <w:gridCol w:w="1685"/>
        <w:gridCol w:w="1345"/>
        <w:gridCol w:w="2160"/>
        <w:gridCol w:w="1642"/>
        <w:gridCol w:w="2160"/>
        <w:gridCol w:w="1642"/>
      </w:tblGrid>
      <w:tr w:rsidR="003B318C" w:rsidTr="004B14BB">
        <w:tc>
          <w:tcPr>
            <w:tcW w:w="1685" w:type="dxa"/>
            <w:vAlign w:val="center"/>
          </w:tcPr>
          <w:p w:rsidR="00F37720" w:rsidRPr="008A2A4E" w:rsidRDefault="00F37720" w:rsidP="004B14BB">
            <w:pPr>
              <w:rPr>
                <w:b/>
              </w:rPr>
            </w:pPr>
          </w:p>
        </w:tc>
        <w:tc>
          <w:tcPr>
            <w:tcW w:w="1345" w:type="dxa"/>
            <w:vAlign w:val="center"/>
          </w:tcPr>
          <w:p w:rsidR="00F37720" w:rsidRDefault="00F37720" w:rsidP="004B14BB">
            <w:pPr>
              <w:jc w:val="center"/>
            </w:pPr>
          </w:p>
        </w:tc>
        <w:tc>
          <w:tcPr>
            <w:tcW w:w="3802" w:type="dxa"/>
            <w:gridSpan w:val="2"/>
            <w:vAlign w:val="center"/>
          </w:tcPr>
          <w:p w:rsidR="00F37720" w:rsidRPr="008A2A4E" w:rsidRDefault="00F37720" w:rsidP="004B14BB">
            <w:pPr>
              <w:jc w:val="center"/>
              <w:rPr>
                <w:b/>
              </w:rPr>
            </w:pPr>
            <w:r w:rsidRPr="008A2A4E">
              <w:rPr>
                <w:b/>
              </w:rPr>
              <w:t>Clinician</w:t>
            </w:r>
          </w:p>
        </w:tc>
        <w:tc>
          <w:tcPr>
            <w:tcW w:w="3802" w:type="dxa"/>
            <w:gridSpan w:val="2"/>
            <w:vAlign w:val="center"/>
          </w:tcPr>
          <w:p w:rsidR="00F37720" w:rsidRPr="008A2A4E" w:rsidRDefault="00F37720" w:rsidP="004B14BB">
            <w:pPr>
              <w:jc w:val="center"/>
              <w:rPr>
                <w:b/>
              </w:rPr>
            </w:pPr>
            <w:r w:rsidRPr="008A2A4E">
              <w:rPr>
                <w:b/>
              </w:rPr>
              <w:t>Researcher</w:t>
            </w:r>
          </w:p>
        </w:tc>
      </w:tr>
      <w:tr w:rsidR="003B318C" w:rsidTr="004B14BB">
        <w:tc>
          <w:tcPr>
            <w:tcW w:w="1685" w:type="dxa"/>
            <w:vAlign w:val="center"/>
          </w:tcPr>
          <w:p w:rsidR="00F37720" w:rsidRPr="008A2A4E" w:rsidRDefault="00F37720" w:rsidP="004B14BB">
            <w:pPr>
              <w:jc w:val="center"/>
              <w:rPr>
                <w:b/>
              </w:rPr>
            </w:pPr>
            <w:r w:rsidRPr="008A2A4E">
              <w:rPr>
                <w:b/>
              </w:rPr>
              <w:t>Topic</w:t>
            </w:r>
          </w:p>
        </w:tc>
        <w:tc>
          <w:tcPr>
            <w:tcW w:w="1345" w:type="dxa"/>
            <w:vAlign w:val="center"/>
          </w:tcPr>
          <w:p w:rsidR="00F37720" w:rsidRPr="008A2A4E" w:rsidRDefault="00F37720" w:rsidP="004B14BB">
            <w:pPr>
              <w:jc w:val="center"/>
              <w:rPr>
                <w:b/>
              </w:rPr>
            </w:pPr>
            <w:r w:rsidRPr="008A2A4E">
              <w:rPr>
                <w:b/>
              </w:rPr>
              <w:t>Skill level</w:t>
            </w:r>
          </w:p>
        </w:tc>
        <w:tc>
          <w:tcPr>
            <w:tcW w:w="2160" w:type="dxa"/>
            <w:vAlign w:val="center"/>
          </w:tcPr>
          <w:p w:rsidR="00F37720" w:rsidRPr="008A2A4E" w:rsidRDefault="007B2A33" w:rsidP="004B14BB">
            <w:pPr>
              <w:jc w:val="center"/>
              <w:rPr>
                <w:b/>
              </w:rPr>
            </w:pPr>
            <w:r>
              <w:rPr>
                <w:b/>
              </w:rPr>
              <w:t>Importance</w:t>
            </w:r>
            <w:r>
              <w:rPr>
                <w:b/>
              </w:rPr>
              <w:br/>
              <w:t xml:space="preserve"> (1) </w:t>
            </w:r>
            <w:r w:rsidR="004B14BB">
              <w:rPr>
                <w:b/>
              </w:rPr>
              <w:t xml:space="preserve">Not </w:t>
            </w:r>
            <w:r>
              <w:rPr>
                <w:b/>
              </w:rPr>
              <w:t xml:space="preserve">to (5) </w:t>
            </w:r>
            <w:r w:rsidR="004B14BB">
              <w:rPr>
                <w:b/>
              </w:rPr>
              <w:t>Very</w:t>
            </w:r>
          </w:p>
        </w:tc>
        <w:tc>
          <w:tcPr>
            <w:tcW w:w="1642" w:type="dxa"/>
            <w:vAlign w:val="center"/>
          </w:tcPr>
          <w:p w:rsidR="00F37720" w:rsidRPr="008A2A4E" w:rsidRDefault="00F37720" w:rsidP="004B14BB">
            <w:pPr>
              <w:jc w:val="center"/>
              <w:rPr>
                <w:b/>
              </w:rPr>
            </w:pPr>
            <w:r w:rsidRPr="008A2A4E">
              <w:rPr>
                <w:b/>
              </w:rPr>
              <w:t>Bloom’s Taxonomy*</w:t>
            </w:r>
          </w:p>
        </w:tc>
        <w:tc>
          <w:tcPr>
            <w:tcW w:w="2160" w:type="dxa"/>
            <w:vAlign w:val="center"/>
          </w:tcPr>
          <w:p w:rsidR="00F37720" w:rsidRPr="008A2A4E" w:rsidRDefault="007B2A33" w:rsidP="004B14BB">
            <w:pPr>
              <w:jc w:val="center"/>
              <w:rPr>
                <w:b/>
              </w:rPr>
            </w:pPr>
            <w:r>
              <w:rPr>
                <w:b/>
              </w:rPr>
              <w:t xml:space="preserve">Importance </w:t>
            </w:r>
            <w:r>
              <w:rPr>
                <w:b/>
              </w:rPr>
              <w:br/>
              <w:t xml:space="preserve"> (1) </w:t>
            </w:r>
            <w:r w:rsidR="004B14BB">
              <w:rPr>
                <w:b/>
              </w:rPr>
              <w:t>Not</w:t>
            </w:r>
            <w:r>
              <w:rPr>
                <w:b/>
              </w:rPr>
              <w:t xml:space="preserve"> to (5) </w:t>
            </w:r>
            <w:r w:rsidR="004B14BB">
              <w:rPr>
                <w:b/>
              </w:rPr>
              <w:t>Very</w:t>
            </w:r>
          </w:p>
        </w:tc>
        <w:tc>
          <w:tcPr>
            <w:tcW w:w="1642" w:type="dxa"/>
            <w:vAlign w:val="center"/>
          </w:tcPr>
          <w:p w:rsidR="00F37720" w:rsidRPr="008A2A4E" w:rsidRDefault="00F37720" w:rsidP="004B14BB">
            <w:pPr>
              <w:jc w:val="center"/>
              <w:rPr>
                <w:b/>
              </w:rPr>
            </w:pPr>
            <w:r w:rsidRPr="008A2A4E">
              <w:rPr>
                <w:b/>
              </w:rPr>
              <w:t>Bloom’s Taxonomy*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Levels of Measurement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Introductory</w:t>
            </w:r>
          </w:p>
        </w:tc>
        <w:tc>
          <w:tcPr>
            <w:tcW w:w="2160" w:type="dxa"/>
            <w:vAlign w:val="center"/>
          </w:tcPr>
          <w:p w:rsidR="004B14BB" w:rsidRPr="004B14BB" w:rsidRDefault="004B14BB" w:rsidP="004B14BB">
            <w:pPr>
              <w:jc w:val="center"/>
              <w:rPr>
                <w:b/>
                <w:sz w:val="26"/>
                <w:szCs w:val="26"/>
              </w:rPr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Standard Error of Measurement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Introductory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Fairness in testing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Introductory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Face validity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Introductory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Application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Classical Test Theory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Instrument development process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Application</w:t>
            </w:r>
          </w:p>
          <w:p w:rsidR="004B14BB" w:rsidRDefault="004B14BB" w:rsidP="004B14BB">
            <w:pPr>
              <w:jc w:val="center"/>
            </w:pP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Qualitative development of conceptual framework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Analysis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Development of instrument content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[not included]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Purposes of measurement instruments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Application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Reliability Indices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Minimal detectable change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Validity Indices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Analysis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Hypothesis Testing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Application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Cross-cultural validity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Application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Content validity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Interpretability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Clinical Utility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Floor and ceiling effects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Knowledge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Analysis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Responsiveness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 to Difficult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705D34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MCID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Moderate to Difficult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4B14BB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DA5365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Analysis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lastRenderedPageBreak/>
              <w:t>Criterion Validity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Difficult</w:t>
            </w:r>
          </w:p>
        </w:tc>
        <w:tc>
          <w:tcPr>
            <w:tcW w:w="2160" w:type="dxa"/>
          </w:tcPr>
          <w:p w:rsidR="004B14BB" w:rsidRDefault="004B14BB" w:rsidP="004B14BB">
            <w:r w:rsidRPr="00E764C9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DA5365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Construct Validity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Difficult</w:t>
            </w:r>
          </w:p>
        </w:tc>
        <w:tc>
          <w:tcPr>
            <w:tcW w:w="2160" w:type="dxa"/>
          </w:tcPr>
          <w:p w:rsidR="004B14BB" w:rsidRDefault="004B14BB" w:rsidP="004B14BB">
            <w:r w:rsidRPr="00E764C9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DA5365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Factor Analysis or IRT (Structural Validity)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Difficult</w:t>
            </w:r>
          </w:p>
        </w:tc>
        <w:tc>
          <w:tcPr>
            <w:tcW w:w="2160" w:type="dxa"/>
          </w:tcPr>
          <w:p w:rsidR="004B14BB" w:rsidRDefault="004B14BB" w:rsidP="004B14BB">
            <w:r w:rsidRPr="00E764C9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Knowledge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DA5365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Analysis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Ecological Validity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Difficult</w:t>
            </w:r>
          </w:p>
        </w:tc>
        <w:tc>
          <w:tcPr>
            <w:tcW w:w="2160" w:type="dxa"/>
          </w:tcPr>
          <w:p w:rsidR="004B14BB" w:rsidRDefault="004B14BB" w:rsidP="004B14BB">
            <w:r w:rsidRPr="00E764C9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Knowledge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DA5365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Contemporary Measurement Theory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Difficult</w:t>
            </w:r>
          </w:p>
        </w:tc>
        <w:tc>
          <w:tcPr>
            <w:tcW w:w="2160" w:type="dxa"/>
          </w:tcPr>
          <w:p w:rsidR="004B14BB" w:rsidRDefault="004B14BB" w:rsidP="004B14BB">
            <w:r w:rsidRPr="00E764C9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rPr>
                <w:rFonts w:cstheme="minorHAnsi"/>
              </w:rPr>
              <w:t>Comprehension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DA5365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rPr>
                <w:rFonts w:cstheme="minorHAnsi"/>
              </w:rPr>
              <w:t>Evaluation</w:t>
            </w:r>
          </w:p>
        </w:tc>
      </w:tr>
      <w:tr w:rsidR="004B14BB" w:rsidTr="004B14BB">
        <w:tc>
          <w:tcPr>
            <w:tcW w:w="1685" w:type="dxa"/>
            <w:vAlign w:val="center"/>
          </w:tcPr>
          <w:p w:rsidR="004B14BB" w:rsidRPr="008A2A4E" w:rsidRDefault="004B14BB" w:rsidP="004B14BB">
            <w:pPr>
              <w:rPr>
                <w:b/>
              </w:rPr>
            </w:pPr>
            <w:r w:rsidRPr="008A2A4E">
              <w:rPr>
                <w:b/>
              </w:rPr>
              <w:t>Generalizability Theory</w:t>
            </w:r>
          </w:p>
        </w:tc>
        <w:tc>
          <w:tcPr>
            <w:tcW w:w="1345" w:type="dxa"/>
            <w:vAlign w:val="center"/>
          </w:tcPr>
          <w:p w:rsidR="004B14BB" w:rsidRDefault="004B14BB" w:rsidP="004B14BB">
            <w:pPr>
              <w:jc w:val="center"/>
            </w:pPr>
            <w:r>
              <w:t>Difficult</w:t>
            </w:r>
          </w:p>
        </w:tc>
        <w:tc>
          <w:tcPr>
            <w:tcW w:w="2160" w:type="dxa"/>
          </w:tcPr>
          <w:p w:rsidR="004B14BB" w:rsidRDefault="004B14BB" w:rsidP="004B14BB">
            <w:r w:rsidRPr="00E764C9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[not included]</w:t>
            </w:r>
          </w:p>
        </w:tc>
        <w:tc>
          <w:tcPr>
            <w:tcW w:w="2160" w:type="dxa"/>
            <w:vAlign w:val="center"/>
          </w:tcPr>
          <w:p w:rsidR="004B14BB" w:rsidRDefault="004B14BB" w:rsidP="004B14BB">
            <w:pPr>
              <w:jc w:val="center"/>
            </w:pPr>
            <w:r w:rsidRPr="00DA5365">
              <w:rPr>
                <w:b/>
                <w:sz w:val="26"/>
                <w:szCs w:val="26"/>
              </w:rPr>
              <w:t>1     2     3     4     5</w:t>
            </w:r>
          </w:p>
        </w:tc>
        <w:tc>
          <w:tcPr>
            <w:tcW w:w="1642" w:type="dxa"/>
            <w:vAlign w:val="center"/>
          </w:tcPr>
          <w:p w:rsidR="004B14BB" w:rsidRDefault="004B14BB" w:rsidP="004B14BB">
            <w:pPr>
              <w:jc w:val="center"/>
            </w:pPr>
            <w:r>
              <w:t>Comprehension</w:t>
            </w:r>
          </w:p>
        </w:tc>
      </w:tr>
    </w:tbl>
    <w:p w:rsidR="00F37720" w:rsidRDefault="00F37720"/>
    <w:sectPr w:rsidR="00F37720" w:rsidSect="004B14BB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FA" w:rsidRDefault="004769FA" w:rsidP="005C46DF">
      <w:pPr>
        <w:spacing w:after="0" w:line="240" w:lineRule="auto"/>
      </w:pPr>
      <w:r>
        <w:separator/>
      </w:r>
    </w:p>
  </w:endnote>
  <w:endnote w:type="continuationSeparator" w:id="0">
    <w:p w:rsidR="004769FA" w:rsidRDefault="004769FA" w:rsidP="005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DF" w:rsidRPr="005C46DF" w:rsidRDefault="005C46DF" w:rsidP="005C46DF">
    <w:pPr>
      <w:jc w:val="center"/>
      <w:rPr>
        <w:color w:val="C00000"/>
      </w:rPr>
    </w:pPr>
    <w:r w:rsidRPr="005C46DF">
      <w:rPr>
        <w:rStyle w:val="Hyperlink"/>
        <w:color w:val="C00000"/>
        <w:u w:val="none"/>
      </w:rPr>
      <w:t>**A project of the Management Networking Group Curriculum Task Force**</w:t>
    </w:r>
    <w:r>
      <w:rPr>
        <w:rStyle w:val="Hyperlink"/>
        <w:color w:val="C00000"/>
        <w:u w:val="none"/>
      </w:rPr>
      <w:br/>
      <w:t>Chairs: Lauren Terhorst, PhD and Shannon Juengst, PhD</w:t>
    </w:r>
  </w:p>
  <w:p w:rsidR="005C46DF" w:rsidRDefault="005C4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FA" w:rsidRDefault="004769FA" w:rsidP="005C46DF">
      <w:pPr>
        <w:spacing w:after="0" w:line="240" w:lineRule="auto"/>
      </w:pPr>
      <w:r>
        <w:separator/>
      </w:r>
    </w:p>
  </w:footnote>
  <w:footnote w:type="continuationSeparator" w:id="0">
    <w:p w:rsidR="004769FA" w:rsidRDefault="004769FA" w:rsidP="005C4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1AE4"/>
    <w:multiLevelType w:val="hybridMultilevel"/>
    <w:tmpl w:val="254C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20"/>
    <w:rsid w:val="000F6CED"/>
    <w:rsid w:val="00163C88"/>
    <w:rsid w:val="003B318C"/>
    <w:rsid w:val="00421429"/>
    <w:rsid w:val="004769FA"/>
    <w:rsid w:val="004B14BB"/>
    <w:rsid w:val="004F5DC0"/>
    <w:rsid w:val="005C46DF"/>
    <w:rsid w:val="0065559E"/>
    <w:rsid w:val="006F0F10"/>
    <w:rsid w:val="00730A0C"/>
    <w:rsid w:val="007B2A33"/>
    <w:rsid w:val="007E42AF"/>
    <w:rsid w:val="008A2A4E"/>
    <w:rsid w:val="009C13F0"/>
    <w:rsid w:val="00A331B2"/>
    <w:rsid w:val="00BB417E"/>
    <w:rsid w:val="00CD4B3F"/>
    <w:rsid w:val="00DC28D8"/>
    <w:rsid w:val="00E34B62"/>
    <w:rsid w:val="00F3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A77CA-E045-4889-92D1-B7C2E55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7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DF"/>
  </w:style>
  <w:style w:type="paragraph" w:styleId="Footer">
    <w:name w:val="footer"/>
    <w:basedOn w:val="Normal"/>
    <w:link w:val="FooterChar"/>
    <w:uiPriority w:val="99"/>
    <w:unhideWhenUsed/>
    <w:rsid w:val="005C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annon.Juengst@utsouthwester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ationalexpressions.blogspot.com/2014/05/blooms-taxonomy-and-ease-of-appea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Terhorst, Lauren</dc:creator>
  <cp:keywords/>
  <dc:description/>
  <cp:lastModifiedBy>Cindy</cp:lastModifiedBy>
  <cp:revision>2</cp:revision>
  <cp:lastPrinted>2017-04-21T16:46:00Z</cp:lastPrinted>
  <dcterms:created xsi:type="dcterms:W3CDTF">2017-04-27T16:24:00Z</dcterms:created>
  <dcterms:modified xsi:type="dcterms:W3CDTF">2017-04-27T16:24:00Z</dcterms:modified>
</cp:coreProperties>
</file>